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0" w:rsidRDefault="00D042AE">
      <w:pPr>
        <w:ind w:left="79"/>
        <w:jc w:val="center"/>
        <w:rPr>
          <w:i w:val="0"/>
          <w:sz w:val="22"/>
          <w:szCs w:val="22"/>
        </w:rPr>
      </w:pPr>
      <w:bookmarkStart w:id="0" w:name="_GoBack"/>
      <w:bookmarkEnd w:id="0"/>
      <w:r>
        <w:rPr>
          <w:i w:val="0"/>
          <w:sz w:val="22"/>
          <w:szCs w:val="22"/>
        </w:rPr>
        <w:t>МИНИСТЕРСТВО НАУКИ И ВЫСШЕГО ОБРАЗОВАНИЯ РОССИЙСКОЙ ФЕДЕРАЦИИ</w:t>
      </w:r>
    </w:p>
    <w:p w:rsidR="007C7E60" w:rsidRDefault="00D042AE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ФЕДЕРАЛЬНОЕ ГОСУДАРСТВЕННОЕ АВТОНОМНОЕ ОБРАЗОВАТЕЛЬНОЕ УЧРЕЖДЕНИЕ</w:t>
      </w:r>
    </w:p>
    <w:p w:rsidR="007C7E60" w:rsidRDefault="00D042AE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ВЫСШЕГО ОБРАЗОВАНИЯ</w:t>
      </w:r>
    </w:p>
    <w:p w:rsidR="007C7E60" w:rsidRDefault="00D042AE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«Национальный исследовательский ядерный университет «МИФИ»</w:t>
      </w:r>
    </w:p>
    <w:p w:rsidR="007C7E60" w:rsidRDefault="00D042AE">
      <w:pPr>
        <w:ind w:left="79"/>
        <w:jc w:val="center"/>
        <w:rPr>
          <w:rFonts w:ascii="Book Antiqua" w:eastAsia="Book Antiqua" w:hAnsi="Book Antiqua" w:cs="Book Antiqua"/>
          <w:b/>
          <w:i w:val="0"/>
          <w:sz w:val="28"/>
          <w:szCs w:val="28"/>
        </w:rPr>
      </w:pPr>
      <w:r>
        <w:rPr>
          <w:rFonts w:ascii="Book Antiqua" w:eastAsia="Book Antiqua" w:hAnsi="Book Antiqua" w:cs="Book Antiqua"/>
          <w:b/>
          <w:i w:val="0"/>
          <w:sz w:val="28"/>
          <w:szCs w:val="28"/>
        </w:rPr>
        <w:t>Обнинский институт атомной энергетики –</w:t>
      </w:r>
    </w:p>
    <w:p w:rsidR="007C7E60" w:rsidRDefault="00D042AE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филиал федерального государственного автономного образовательного учреждения высшего</w:t>
      </w:r>
    </w:p>
    <w:p w:rsidR="007C7E60" w:rsidRDefault="00D042AE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профессионального образования «Национальный исследовательский ядерный университет «МИФИ»</w:t>
      </w:r>
    </w:p>
    <w:p w:rsidR="007C7E60" w:rsidRDefault="00D042AE">
      <w:pPr>
        <w:ind w:left="79"/>
        <w:jc w:val="center"/>
        <w:rPr>
          <w:rFonts w:ascii="Book Antiqua" w:eastAsia="Book Antiqua" w:hAnsi="Book Antiqua" w:cs="Book Antiqua"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(ИАТЭ НИЯУ МИФИ)</w:t>
      </w:r>
    </w:p>
    <w:p w:rsidR="007C7E60" w:rsidRDefault="007C7E60">
      <w:pPr>
        <w:ind w:left="79"/>
        <w:jc w:val="center"/>
        <w:rPr>
          <w:b/>
          <w:i w:val="0"/>
          <w:sz w:val="20"/>
          <w:szCs w:val="20"/>
        </w:rPr>
      </w:pPr>
    </w:p>
    <w:p w:rsidR="007C7E60" w:rsidRDefault="00D042AE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Отделение интеллектуальных кибернетических систем</w:t>
      </w:r>
    </w:p>
    <w:p w:rsidR="007C7E60" w:rsidRDefault="007C7E60">
      <w:pPr>
        <w:ind w:left="79"/>
        <w:jc w:val="right"/>
        <w:rPr>
          <w:i w:val="0"/>
        </w:rPr>
      </w:pPr>
    </w:p>
    <w:p w:rsidR="00243011" w:rsidRPr="00243011" w:rsidRDefault="00243011" w:rsidP="00243011">
      <w:pPr>
        <w:ind w:left="5954"/>
        <w:jc w:val="right"/>
        <w:rPr>
          <w:i w:val="0"/>
        </w:rPr>
      </w:pPr>
      <w:r w:rsidRPr="00243011">
        <w:rPr>
          <w:i w:val="0"/>
          <w:sz w:val="28"/>
          <w:szCs w:val="28"/>
        </w:rPr>
        <w:t>Одобрено на заседании  УМС ИАТЭ НИЯУ МИФИ Протокол от 30.08.2022 № 2-8/2022</w:t>
      </w:r>
    </w:p>
    <w:p w:rsidR="007C7E60" w:rsidRDefault="007C7E60">
      <w:pPr>
        <w:ind w:left="79"/>
        <w:jc w:val="right"/>
        <w:rPr>
          <w:i w:val="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32"/>
          <w:szCs w:val="32"/>
        </w:rPr>
      </w:pPr>
    </w:p>
    <w:p w:rsidR="00FB4BD5" w:rsidRDefault="00F0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b/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>ФОНД ОЦЕ</w:t>
      </w:r>
      <w:r w:rsidR="00FB4BD5">
        <w:rPr>
          <w:b/>
          <w:i w:val="0"/>
          <w:color w:val="000000"/>
          <w:sz w:val="28"/>
          <w:szCs w:val="28"/>
        </w:rPr>
        <w:t>НОЧНЫХ СРЕДСТВ</w:t>
      </w:r>
    </w:p>
    <w:p w:rsidR="007C7E60" w:rsidRPr="00FB4BD5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 xml:space="preserve"> </w:t>
      </w:r>
      <w:r w:rsidR="00FB4BD5" w:rsidRPr="00FB4BD5">
        <w:rPr>
          <w:i w:val="0"/>
          <w:color w:val="000000"/>
          <w:sz w:val="28"/>
          <w:szCs w:val="28"/>
        </w:rPr>
        <w:t>учебной дисциплины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4A7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b/>
          <w:i w:val="0"/>
          <w:color w:val="000000"/>
          <w:sz w:val="28"/>
          <w:szCs w:val="28"/>
          <w:u w:val="single"/>
        </w:rPr>
        <w:t xml:space="preserve">ОБРАБОТКА И </w:t>
      </w:r>
      <w:r w:rsidR="00D042AE">
        <w:rPr>
          <w:b/>
          <w:i w:val="0"/>
          <w:color w:val="000000"/>
          <w:sz w:val="28"/>
          <w:szCs w:val="28"/>
          <w:u w:val="single"/>
        </w:rPr>
        <w:t>СТАТИСТИЧЕСКИЙ АНАЛИЗ</w:t>
      </w:r>
      <w:r>
        <w:rPr>
          <w:b/>
          <w:i w:val="0"/>
          <w:color w:val="000000"/>
          <w:sz w:val="28"/>
          <w:szCs w:val="28"/>
          <w:u w:val="single"/>
        </w:rPr>
        <w:t xml:space="preserve"> БОЛЬШИХ</w:t>
      </w:r>
      <w:r w:rsidR="00D042AE">
        <w:rPr>
          <w:b/>
          <w:i w:val="0"/>
          <w:color w:val="000000"/>
          <w:sz w:val="28"/>
          <w:szCs w:val="28"/>
          <w:u w:val="single"/>
        </w:rPr>
        <w:t xml:space="preserve"> ДАННЫХ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 xml:space="preserve"> 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для студентов направления подготовки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i w:val="0"/>
          <w:color w:val="000000"/>
          <w:sz w:val="28"/>
          <w:szCs w:val="28"/>
          <w:u w:val="single"/>
        </w:rPr>
        <w:t>09.04.0</w:t>
      </w:r>
      <w:r w:rsidR="00243011">
        <w:rPr>
          <w:i w:val="0"/>
          <w:color w:val="000000"/>
          <w:sz w:val="28"/>
          <w:szCs w:val="28"/>
          <w:u w:val="single"/>
        </w:rPr>
        <w:t>1 – Информатика и вычислительная техника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-6"/>
        <w:jc w:val="center"/>
        <w:rPr>
          <w:i w:val="0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708" w:firstLine="2127"/>
        <w:jc w:val="center"/>
        <w:rPr>
          <w:i w:val="0"/>
          <w:color w:val="000000"/>
          <w:sz w:val="16"/>
          <w:szCs w:val="16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программа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  <w:r>
        <w:rPr>
          <w:b/>
          <w:i w:val="0"/>
          <w:color w:val="000000"/>
          <w:sz w:val="28"/>
          <w:szCs w:val="28"/>
        </w:rPr>
        <w:t>Большие данные и машинное обучение в атомной энергетике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Форма обучения: очная</w:t>
      </w:r>
    </w:p>
    <w:p w:rsidR="00243011" w:rsidRDefault="00243011">
      <w:pPr>
        <w:rPr>
          <w:i w:val="0"/>
          <w:color w:val="000000"/>
          <w:sz w:val="28"/>
          <w:szCs w:val="28"/>
        </w:rPr>
      </w:pPr>
    </w:p>
    <w:p w:rsidR="00243011" w:rsidRDefault="00D042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i w:val="0"/>
          <w:color w:val="000000"/>
        </w:rPr>
      </w:pPr>
      <w:r>
        <w:rPr>
          <w:b/>
          <w:i w:val="0"/>
          <w:color w:val="000000"/>
        </w:rPr>
        <w:t>г. Обнинск 20</w:t>
      </w:r>
      <w:r w:rsidR="00243011">
        <w:rPr>
          <w:b/>
          <w:i w:val="0"/>
          <w:color w:val="000000"/>
        </w:rPr>
        <w:t>22</w:t>
      </w:r>
      <w:r>
        <w:rPr>
          <w:b/>
          <w:i w:val="0"/>
          <w:color w:val="000000"/>
        </w:rPr>
        <w:t>г.</w:t>
      </w:r>
    </w:p>
    <w:p w:rsidR="00243011" w:rsidRDefault="00243011">
      <w:pPr>
        <w:rPr>
          <w:b/>
          <w:i w:val="0"/>
          <w:color w:val="000000"/>
        </w:rPr>
      </w:pPr>
      <w:r>
        <w:rPr>
          <w:b/>
          <w:i w:val="0"/>
          <w:color w:val="000000"/>
        </w:rPr>
        <w:br w:type="page"/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i w:val="0"/>
          <w:color w:val="000000"/>
        </w:rPr>
      </w:pP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В результате освоения ООП магистратуры обучающийся должен овладеть следующими результатами обучения по дисциплине: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tbl>
      <w:tblPr>
        <w:tblStyle w:val="a7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3367"/>
        <w:gridCol w:w="5003"/>
      </w:tblGrid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Коды компетенций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Результаты освоения ООП</w:t>
            </w:r>
          </w:p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Содержание компетенций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Перечень планируемых результатов обучения по дисциплине</w:t>
            </w:r>
          </w:p>
        </w:tc>
      </w:tr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ПК-1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 w:rsidRPr="00243011">
              <w:rPr>
                <w:i w:val="0"/>
                <w:color w:val="000000"/>
              </w:rPr>
              <w:t>Способен применять научно обоснованные перспективные методы исследования и решать задачи на основе знания мировых тенденций развития вычислительной техники и информационных технологий с внедрением результатов исследований в реальный сектор экономики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Знать</w:t>
            </w:r>
            <w:r>
              <w:rPr>
                <w:i w:val="0"/>
                <w:color w:val="000000"/>
              </w:rPr>
              <w:t>: основные типы (модели) распределений вероятности, основные статистические методы параметрического и непараметрического оценивания распределения случайной величины, основные параметрические и непараметрические методы проверки статистических гипотез.</w:t>
            </w:r>
          </w:p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Уметь</w:t>
            </w:r>
            <w:r>
              <w:rPr>
                <w:i w:val="0"/>
                <w:color w:val="000000"/>
              </w:rPr>
              <w:t>: правильно выбирать структуру и формат  данных; корректно заносить статистическую информацию; обрабатывать эту информацию; разрабатывать математические модели исследуемых процессов и изделий;  выбирать методики и средства решения задачи.</w:t>
            </w:r>
          </w:p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Владеть</w:t>
            </w:r>
            <w:r>
              <w:rPr>
                <w:i w:val="0"/>
                <w:color w:val="000000"/>
              </w:rPr>
              <w:t>: методами обработки экспериментальных данных с помощью ЭВМ; подготовкой научно-технических отчетов, обзоров, публикаций по результатам выполненных исследований.</w:t>
            </w:r>
          </w:p>
        </w:tc>
      </w:tr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 w:rsidRPr="00243011">
              <w:rPr>
                <w:i w:val="0"/>
                <w:color w:val="000000"/>
              </w:rPr>
              <w:t>Способен использовать и развивать методы научных исследований и инструментарий в области интеллектуального анализа данных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Знать</w:t>
            </w:r>
            <w:r>
              <w:rPr>
                <w:i w:val="0"/>
                <w:color w:val="000000"/>
              </w:rPr>
              <w:t>: различные способы хранения статистической информации  на компьютере; возможности компьютерной обработки данных; методы сбора, обработки, анализа и систематизации научно-технической информации по теме исследования.</w:t>
            </w:r>
          </w:p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Уметь</w:t>
            </w:r>
            <w:r>
              <w:rPr>
                <w:i w:val="0"/>
                <w:color w:val="000000"/>
              </w:rPr>
              <w:t>: ставить и решать задачи статистической обработки, анализировать имеющуюся экспериментальную информацию с различных точек зрения и строить адекватную вероятностную модель, корректно выбирать необходимую статистическую процедуру.</w:t>
            </w:r>
          </w:p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Владеть</w:t>
            </w:r>
            <w:r>
              <w:rPr>
                <w:i w:val="0"/>
                <w:color w:val="000000"/>
              </w:rPr>
              <w:t>: методами обработки экспериментальных данных, анализа распределений и зависимостей.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0" w:firstLine="567"/>
        <w:rPr>
          <w:i w:val="0"/>
          <w:color w:val="000000"/>
        </w:rPr>
      </w:pPr>
      <w:bookmarkStart w:id="1" w:name="30j0zll" w:colFirst="0" w:colLast="0"/>
      <w:bookmarkEnd w:id="1"/>
    </w:p>
    <w:p w:rsidR="007C7E60" w:rsidRDefault="004A7A47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 Фонд оценочных средств для проведения промежуточной аттестации обучающихся по дисциплине</w:t>
      </w: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 xml:space="preserve">.1. Паспорт фонда оценочных средств по дисциплине </w:t>
      </w:r>
    </w:p>
    <w:tbl>
      <w:tblPr>
        <w:tblStyle w:val="ac"/>
        <w:tblW w:w="99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17"/>
        <w:gridCol w:w="3544"/>
        <w:gridCol w:w="2693"/>
      </w:tblGrid>
      <w:tr w:rsidR="007C7E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" w:hanging="1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№ п/п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Наименование оценочного средства</w:t>
            </w:r>
          </w:p>
        </w:tc>
      </w:tr>
      <w:tr w:rsidR="007C7E60">
        <w:trPr>
          <w:trHeight w:val="12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1.1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функции распределения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</w:tc>
      </w:tr>
      <w:tr w:rsidR="007C7E60">
        <w:trPr>
          <w:trHeight w:val="11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плотности распределения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</w:tc>
      </w:tr>
      <w:tr w:rsidR="007C7E60">
        <w:trPr>
          <w:trHeight w:val="10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Порядковые статистики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>С</w:t>
            </w:r>
            <w:r w:rsidR="00D042AE"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 w:rsidR="00D042AE"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ПК-10: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2.1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ранговая корреляция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СПК-1</w:t>
            </w:r>
            <w:r w:rsidR="00D042AE">
              <w:rPr>
                <w:i w:val="0"/>
                <w:color w:val="000000"/>
              </w:rPr>
              <w:t>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Непараметрический регрессионный анализ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</w:tc>
      </w:tr>
      <w:tr w:rsidR="007C7E60">
        <w:trPr>
          <w:trHeight w:val="10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положении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</w:t>
            </w:r>
            <w:r>
              <w:rPr>
                <w:i w:val="0"/>
                <w:color w:val="000000"/>
              </w:rPr>
              <w:lastRenderedPageBreak/>
              <w:t>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Реферат</w:t>
            </w:r>
          </w:p>
        </w:tc>
      </w:tr>
      <w:tr w:rsidR="007C7E60">
        <w:trPr>
          <w:trHeight w:val="106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рассеянии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>С</w:t>
            </w:r>
            <w:r w:rsidR="00D042AE"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 w:rsidR="00D042AE"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</w:t>
            </w:r>
            <w:r w:rsidR="00D042AE"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30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Дисперсионный анализ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 xml:space="preserve">способностью воспринимать математические, естественнонаучные, социально-экономические и профессиональные знания, умением самостоятельно </w:t>
            </w:r>
            <w:r>
              <w:rPr>
                <w:i w:val="0"/>
                <w:color w:val="000000"/>
              </w:rPr>
              <w:lastRenderedPageBreak/>
              <w:t>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</w:t>
            </w:r>
            <w:r w:rsidR="00D042AE">
              <w:rPr>
                <w:i w:val="0"/>
                <w:color w:val="000000"/>
              </w:rPr>
              <w:t>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</w:t>
            </w:r>
            <w:r w:rsidR="00D042AE">
              <w:rPr>
                <w:i w:val="0"/>
                <w:color w:val="000000"/>
              </w:rPr>
              <w:t>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106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30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Другие критерии и задачи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6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</w:t>
            </w:r>
            <w:r w:rsidR="00D042AE">
              <w:rPr>
                <w:i w:val="0"/>
                <w:color w:val="000000"/>
              </w:rPr>
              <w:t>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.2. Типовые контрольные задания или иные материалы</w:t>
      </w: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.2.1. Экзамен</w:t>
      </w:r>
      <w:bookmarkStart w:id="2" w:name="3znysh7" w:colFirst="0" w:colLast="0"/>
      <w:bookmarkEnd w:id="2"/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Экзамен проводится в письменной форме и состоит в решении ряда практических задач непараметрической статистики. При решении этих задач используются следующие разделы теории: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  <w:bookmarkStart w:id="3" w:name="2et92p0" w:colFirst="0" w:colLast="0"/>
      <w:bookmarkEnd w:id="3"/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lastRenderedPageBreak/>
        <w:t>Эмпирическая функция распределения и ее свойства.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Гистограмма и ее свойства.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Ядерная и проекционная оценка и ее свойства.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Индикаторная функция.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Ранг, ранговая статистика.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Ранговые корреляции.</w:t>
      </w:r>
    </w:p>
    <w:p w:rsidR="007C7E60" w:rsidRDefault="00D042A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Построение рангового критерия.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11" w:hanging="31"/>
        <w:rPr>
          <w:i w:val="0"/>
          <w:color w:val="000000"/>
        </w:rPr>
      </w:pPr>
      <w:r>
        <w:rPr>
          <w:b/>
          <w:i w:val="0"/>
          <w:color w:val="000000"/>
        </w:rPr>
        <w:t xml:space="preserve">Три типовых билета 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11" w:hanging="31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Письменный экзамен по курсу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 xml:space="preserve">Билет №1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Средний балл весенних сессий некоторых групп ИАТЭ: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d"/>
        <w:tblW w:w="3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43"/>
        <w:gridCol w:w="643"/>
        <w:gridCol w:w="516"/>
        <w:gridCol w:w="55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ВТ1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ВТ2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А1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ИС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3.5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4.9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4.1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4.8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4.3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лучше учатся?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120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отсутствия фактора– группа.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4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3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850900" cy="279400"/>
            <wp:effectExtent l="0" t="0" r="0" b="0"/>
            <wp:docPr id="126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вероятность </w:t>
      </w:r>
      <w:r>
        <w:rPr>
          <w:i w:val="0"/>
          <w:noProof/>
          <w:color w:val="000000"/>
        </w:rPr>
        <w:drawing>
          <wp:inline distT="0" distB="0" distL="114300" distR="114300">
            <wp:extent cx="1041400" cy="279400"/>
            <wp:effectExtent l="0" t="0" r="0" b="0"/>
            <wp:docPr id="135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3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4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13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571500" cy="254000"/>
            <wp:effectExtent l="0" t="0" r="0" b="0"/>
            <wp:docPr id="139" name="image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14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1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393700" cy="266700"/>
            <wp:effectExtent l="0" t="0" r="0" b="0"/>
            <wp:docPr id="146" name="image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-гистограммная оценка плотности.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77900" cy="457200"/>
            <wp:effectExtent l="0" t="0" r="0" b="0"/>
            <wp:docPr id="147" name="image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равен коэффициент ранговой корреляции Спирмена для двух наборов данных: 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14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14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571500" cy="241300"/>
            <wp:effectExtent l="0" t="0" r="0" b="0"/>
            <wp:docPr id="150" name="image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15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D042AE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 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1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1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(0,1,3,1)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79400"/>
            <wp:effectExtent l="0" t="0" r="0" b="0"/>
            <wp:docPr id="111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113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66700"/>
            <wp:effectExtent l="0" t="0" r="0" b="0"/>
            <wp:docPr id="114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495300"/>
            <wp:effectExtent l="0" t="0" r="0" b="0"/>
            <wp:docPr id="115" name="image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Письменный экзамен по курсу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Билет №2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Средний балл весенних сессий некоторых групп ИАТЭ: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e"/>
        <w:tblW w:w="3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43"/>
        <w:gridCol w:w="643"/>
        <w:gridCol w:w="516"/>
        <w:gridCol w:w="55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ВТ1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ВТ2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А1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ИС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3.5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4.9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4.1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4.8</w:t>
            </w:r>
          </w:p>
        </w:tc>
        <w:tc>
          <w:tcPr>
            <w:tcW w:w="64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1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4.3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лучше учатся? 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116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наличия фактора– группа.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1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1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419100" cy="203200"/>
            <wp:effectExtent l="0" t="0" r="0" b="0"/>
            <wp:docPr id="119" name="image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20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79400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вероятность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79400"/>
            <wp:effectExtent l="0" t="0" r="0" b="0"/>
            <wp:docPr id="2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 без связей, </w:t>
      </w:r>
      <w:r>
        <w:rPr>
          <w:i w:val="0"/>
          <w:noProof/>
          <w:color w:val="000000"/>
        </w:rPr>
        <w:drawing>
          <wp:inline distT="0" distB="0" distL="114300" distR="114300">
            <wp:extent cx="965200" cy="254000"/>
            <wp:effectExtent l="0" t="0" r="0" b="0"/>
            <wp:docPr id="2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ее ранги.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596900" cy="254000"/>
            <wp:effectExtent l="0" t="0" r="0" b="0"/>
            <wp:docPr id="2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29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3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01700" cy="2540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равен коэффициент ранговой корреляции Спирмена для двух наборов данных: 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4130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D042A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(0,1,3,1)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66700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50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66700"/>
            <wp:effectExtent l="0" t="0" r="0" b="0"/>
            <wp:docPr id="51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825500" cy="495300"/>
            <wp:effectExtent l="0" t="0" r="0" b="0"/>
            <wp:docPr id="52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 xml:space="preserve"> Письменный экзамен по курсу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Билет №3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Концентрация студентов в аудитории по месяцам в различных аудиториях ИАТЭ в процентах: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f"/>
        <w:tblW w:w="50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25"/>
        <w:gridCol w:w="1020"/>
        <w:gridCol w:w="927"/>
        <w:gridCol w:w="102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сентябрь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октябрь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ноябрь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декабрь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28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100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II курс</w:t>
            </w: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88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50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40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44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44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33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42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52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62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1125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52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63</w:t>
            </w:r>
          </w:p>
        </w:tc>
        <w:tc>
          <w:tcPr>
            <w:tcW w:w="92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73</w:t>
            </w:r>
          </w:p>
        </w:tc>
        <w:tc>
          <w:tcPr>
            <w:tcW w:w="10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меньше посещают занятия?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53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наличия фактора времени.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5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5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165100" cy="228600"/>
            <wp:effectExtent l="0" t="0" r="0" b="0"/>
            <wp:docPr id="56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5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5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647700" cy="279400"/>
            <wp:effectExtent l="0" t="0" r="0" b="0"/>
            <wp:docPr id="59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1016000" cy="254000"/>
            <wp:effectExtent l="0" t="0" r="0" b="0"/>
            <wp:docPr id="49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события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независимы.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3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3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3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1054100" cy="254000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3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393700" cy="266700"/>
            <wp:effectExtent l="0" t="0" r="0" b="0"/>
            <wp:docPr id="4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-гистограммная оценка плотности.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65200" cy="457200"/>
            <wp:effectExtent l="0" t="0" r="0" b="0"/>
            <wp:docPr id="3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равна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127000" cy="152400"/>
            <wp:effectExtent l="0" t="0" r="0" b="0"/>
            <wp:docPr id="32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Кендалла для двух наборов данных: 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8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8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41300"/>
            <wp:effectExtent l="0" t="0" r="0" b="0"/>
            <wp:docPr id="89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</w:t>
      </w:r>
      <w:r>
        <w:rPr>
          <w:i w:val="0"/>
          <w:noProof/>
          <w:color w:val="000000"/>
        </w:rPr>
        <w:drawing>
          <wp:inline distT="0" distB="0" distL="114300" distR="114300">
            <wp:extent cx="469900" cy="266700"/>
            <wp:effectExtent l="0" t="0" r="0" b="0"/>
            <wp:docPr id="91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9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D042A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9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(0,2,3,1)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66700"/>
            <wp:effectExtent l="0" t="0" r="0" b="0"/>
            <wp:docPr id="99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81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23900" cy="266700"/>
            <wp:effectExtent l="0" t="0" r="0" b="0"/>
            <wp:docPr id="82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495300"/>
            <wp:effectExtent l="0" t="0" r="0" b="0"/>
            <wp:docPr id="83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br w:type="page"/>
      </w:r>
      <w:r>
        <w:rPr>
          <w:i w:val="0"/>
          <w:color w:val="000000"/>
        </w:rPr>
        <w:lastRenderedPageBreak/>
        <w:t>Критерий оценки – правильность и полнота ответа на вопросы адекватность приведенных примеров. Оценка выставляется по шкале от 0 до 30 баллов: Первая задача оценивается в 6 баллов, 2-6 задачи – 4 балла, седьмое и восьмое  задания оцениваются по 2 балла каждое. Экзамен считается сданным при оценке не ниже 20 баллов.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.2.2. Контрольная работа № 1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предназначена для выявления качества усвоения практических знаний по четырем темам дисциплины, а именно: «Оценка функции распределения», «Оценка плотности распределения», «Задача о положении», «Задача о рассеянии». Эти разделы являются основополагающими для последующего  освоения предмета.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 xml:space="preserve">Контрольная работа включает в себя 4 практические задачи, на которые студент должен дать исчерпывающий письменный ответ. Цель первой и второй задачи- оценивание закона распределения. Третья и четвертая задача тематически посвящены проверке гипотез о сдвиге и масштабе. 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Перечень задач первых трех вариантов: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1.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7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(10,7,1,2, 5, 3, 3,4,5,1)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7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7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0.1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1460500" cy="215900"/>
            <wp:effectExtent l="0" t="0" r="0" b="0"/>
            <wp:docPr id="75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76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7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7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65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6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0.1.</w:t>
      </w:r>
    </w:p>
    <w:p w:rsidR="007C7E60" w:rsidRDefault="00D042AE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6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46100" cy="203200"/>
            <wp:effectExtent l="0" t="0" r="0" b="0"/>
            <wp:docPr id="70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2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tbl>
      <w:tblPr>
        <w:tblStyle w:val="af0"/>
        <w:tblW w:w="52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6"/>
        <w:gridCol w:w="416"/>
        <w:gridCol w:w="416"/>
        <w:gridCol w:w="456"/>
        <w:gridCol w:w="416"/>
        <w:gridCol w:w="416"/>
        <w:gridCol w:w="416"/>
        <w:gridCol w:w="416"/>
        <w:gridCol w:w="416"/>
        <w:gridCol w:w="416"/>
        <w:gridCol w:w="416"/>
        <w:gridCol w:w="416"/>
        <w:gridCol w:w="336"/>
      </w:tblGrid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2.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13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(10,7,1,8, 5, 3, 7,4,5,1)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3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3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0.05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15900"/>
            <wp:effectExtent l="0" t="0" r="0" b="0"/>
            <wp:docPr id="138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141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0.01.</w:t>
      </w:r>
    </w:p>
    <w:p w:rsidR="007C7E60" w:rsidRDefault="00D042A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58800" cy="20320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tbl>
      <w:tblPr>
        <w:tblStyle w:val="af1"/>
        <w:tblW w:w="48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"/>
        <w:gridCol w:w="416"/>
        <w:gridCol w:w="416"/>
        <w:gridCol w:w="336"/>
        <w:gridCol w:w="416"/>
        <w:gridCol w:w="456"/>
        <w:gridCol w:w="336"/>
        <w:gridCol w:w="416"/>
        <w:gridCol w:w="416"/>
        <w:gridCol w:w="416"/>
        <w:gridCol w:w="416"/>
        <w:gridCol w:w="416"/>
      </w:tblGrid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3.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1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(10,1,1,8, 2, 3, 7,4,5,1)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0.1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952500" cy="215900"/>
            <wp:effectExtent l="0" t="0" r="0" b="0"/>
            <wp:docPr id="112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106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10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0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07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0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0.1.</w:t>
      </w:r>
    </w:p>
    <w:p w:rsidR="007C7E60" w:rsidRDefault="00D042A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1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58800" cy="203200"/>
            <wp:effectExtent l="0" t="0" r="0" b="0"/>
            <wp:docPr id="104" name="image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0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</w:p>
    <w:tbl>
      <w:tblPr>
        <w:tblStyle w:val="af2"/>
        <w:tblW w:w="520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"/>
        <w:gridCol w:w="336"/>
        <w:gridCol w:w="416"/>
        <w:gridCol w:w="416"/>
        <w:gridCol w:w="416"/>
        <w:gridCol w:w="336"/>
        <w:gridCol w:w="456"/>
        <w:gridCol w:w="416"/>
        <w:gridCol w:w="456"/>
        <w:gridCol w:w="456"/>
        <w:gridCol w:w="336"/>
        <w:gridCol w:w="416"/>
        <w:gridCol w:w="336"/>
      </w:tblGrid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0"/>
          <w:szCs w:val="2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 xml:space="preserve">Таблица 2. </w:t>
      </w:r>
      <w:r>
        <w:rPr>
          <w:i w:val="0"/>
          <w:color w:val="000000"/>
          <w:sz w:val="28"/>
          <w:szCs w:val="28"/>
        </w:rPr>
        <w:t>Эмпирические частоты.</w:t>
      </w:r>
      <w:r>
        <w:rPr>
          <w:b/>
          <w:i w:val="0"/>
          <w:color w:val="000000"/>
          <w:sz w:val="28"/>
          <w:szCs w:val="28"/>
        </w:rPr>
        <w:t xml:space="preserve">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tbl>
      <w:tblPr>
        <w:tblStyle w:val="af3"/>
        <w:tblW w:w="81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8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18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469900" cy="254000"/>
                  <wp:effectExtent l="0" t="0" r="0" b="0"/>
                  <wp:docPr id="100" name="image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 preferRelativeResize="0"/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22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44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49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43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62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28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431800" cy="254000"/>
                  <wp:effectExtent l="0" t="0" r="0" b="0"/>
                  <wp:docPr id="125" name="image7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 preferRelativeResize="0"/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17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  <w:sz w:val="20"/>
          <w:szCs w:val="2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Значения функции </w:t>
      </w:r>
      <w:r>
        <w:rPr>
          <w:i w:val="0"/>
          <w:noProof/>
          <w:color w:val="000000"/>
        </w:rPr>
        <w:drawing>
          <wp:inline distT="0" distB="0" distL="114300" distR="114300">
            <wp:extent cx="190500" cy="241300"/>
            <wp:effectExtent l="0" t="0" r="0" b="0"/>
            <wp:docPr id="134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: </w:t>
      </w:r>
      <w:r>
        <w:rPr>
          <w:noProof/>
          <w:color w:val="000000"/>
        </w:rPr>
        <w:drawing>
          <wp:inline distT="0" distB="0" distL="114300" distR="114300">
            <wp:extent cx="2247900" cy="330200"/>
            <wp:effectExtent l="0" t="0" r="0" b="0"/>
            <wp:docPr id="131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</w:p>
    <w:tbl>
      <w:tblPr>
        <w:tblStyle w:val="af4"/>
        <w:tblW w:w="6786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816"/>
        <w:gridCol w:w="806"/>
        <w:gridCol w:w="806"/>
        <w:gridCol w:w="845"/>
        <w:gridCol w:w="884"/>
        <w:gridCol w:w="807"/>
        <w:gridCol w:w="939"/>
      </w:tblGrid>
      <w:tr w:rsidR="007C7E60">
        <w:trPr>
          <w:trHeight w:val="5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          p</w:t>
            </w:r>
          </w:p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n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0,10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0,01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         p</w:t>
            </w:r>
          </w:p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n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0,10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0,05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0,01</w:t>
            </w:r>
          </w:p>
        </w:tc>
      </w:tr>
      <w:tr w:rsidR="007C7E60">
        <w:trPr>
          <w:trHeight w:val="2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0,950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0,975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0,995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19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0,271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0,301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0,361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776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842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929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265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294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352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636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708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829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238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264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317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565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624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734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218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242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290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509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563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669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242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224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468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519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617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189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210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252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436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483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576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179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198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238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410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454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542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170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188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226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387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430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513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162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180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216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369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409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489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155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172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207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1l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352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391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468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149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166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12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338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375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449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144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160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l3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325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361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432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139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154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185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14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314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349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418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135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150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I5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304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338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404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131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145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174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l6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295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327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392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127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141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17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286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318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381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95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124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137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165</w:t>
            </w:r>
          </w:p>
        </w:tc>
      </w:tr>
      <w:tr w:rsidR="007C7E60">
        <w:trPr>
          <w:trHeight w:val="240"/>
        </w:trPr>
        <w:tc>
          <w:tcPr>
            <w:tcW w:w="883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18</w:t>
            </w:r>
          </w:p>
        </w:tc>
        <w:tc>
          <w:tcPr>
            <w:tcW w:w="81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279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309</w:t>
            </w:r>
          </w:p>
        </w:tc>
        <w:tc>
          <w:tcPr>
            <w:tcW w:w="806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371</w:t>
            </w:r>
          </w:p>
        </w:tc>
        <w:tc>
          <w:tcPr>
            <w:tcW w:w="845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100</w:t>
            </w:r>
          </w:p>
        </w:tc>
        <w:tc>
          <w:tcPr>
            <w:tcW w:w="884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121</w:t>
            </w:r>
          </w:p>
        </w:tc>
        <w:tc>
          <w:tcPr>
            <w:tcW w:w="807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134</w:t>
            </w:r>
          </w:p>
        </w:tc>
        <w:tc>
          <w:tcPr>
            <w:tcW w:w="939" w:type="dxa"/>
            <w:shd w:val="clear" w:color="auto" w:fill="FFFFFF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161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Рис. 1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6858000</wp:posOffset>
            </wp:positionV>
            <wp:extent cx="2073910" cy="1474470"/>
            <wp:effectExtent l="0" t="0" r="0" b="0"/>
            <wp:wrapNone/>
            <wp:docPr id="62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6858000</wp:posOffset>
            </wp:positionV>
            <wp:extent cx="2073910" cy="1474470"/>
            <wp:effectExtent l="0" t="0" r="0" b="0"/>
            <wp:wrapNone/>
            <wp:docPr id="63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5120640</wp:posOffset>
            </wp:positionV>
            <wp:extent cx="2140585" cy="1474470"/>
            <wp:effectExtent l="0" t="0" r="0" b="0"/>
            <wp:wrapNone/>
            <wp:docPr id="60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5120640</wp:posOffset>
            </wp:positionV>
            <wp:extent cx="2140585" cy="1474470"/>
            <wp:effectExtent l="0" t="0" r="0" b="0"/>
            <wp:wrapNone/>
            <wp:docPr id="61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2660015</wp:posOffset>
            </wp:positionH>
            <wp:positionV relativeFrom="paragraph">
              <wp:posOffset>182880</wp:posOffset>
            </wp:positionV>
            <wp:extent cx="2140585" cy="1474470"/>
            <wp:effectExtent l="0" t="0" r="0" b="0"/>
            <wp:wrapNone/>
            <wp:docPr id="48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2606040</wp:posOffset>
            </wp:positionH>
            <wp:positionV relativeFrom="paragraph">
              <wp:posOffset>1828800</wp:posOffset>
            </wp:positionV>
            <wp:extent cx="2140585" cy="1474470"/>
            <wp:effectExtent l="0" t="0" r="0" b="0"/>
            <wp:wrapNone/>
            <wp:docPr id="46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1828800</wp:posOffset>
            </wp:positionV>
            <wp:extent cx="2140585" cy="1474470"/>
            <wp:effectExtent l="0" t="0" r="0" b="0"/>
            <wp:wrapNone/>
            <wp:docPr id="47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3474720</wp:posOffset>
            </wp:positionV>
            <wp:extent cx="2140585" cy="1474470"/>
            <wp:effectExtent l="0" t="0" r="0" b="0"/>
            <wp:wrapNone/>
            <wp:docPr id="4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3474720</wp:posOffset>
            </wp:positionV>
            <wp:extent cx="2140585" cy="1474470"/>
            <wp:effectExtent l="0" t="0" r="0" b="0"/>
            <wp:wrapNone/>
            <wp:docPr id="45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182880</wp:posOffset>
            </wp:positionV>
            <wp:extent cx="2140585" cy="1474470"/>
            <wp:effectExtent l="0" t="0" r="0" b="0"/>
            <wp:wrapNone/>
            <wp:docPr id="43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br w:type="page"/>
      </w:r>
      <w:r>
        <w:rPr>
          <w:i w:val="0"/>
          <w:color w:val="000000"/>
        </w:rPr>
        <w:t xml:space="preserve"> </w:t>
      </w: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оценки – правильность и полнота ответа на задачу. Оценка выставляется по шкале от 0 до 25 баллов. Первая и вторая задачи оцениваются в 5 баллов, третья – 7, четвертая в 8 баллов соответственно. Контрольная считается написанной успешно при оценке не ниже  15 баллов.</w:t>
      </w: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.2.3. Контрольная работа № 2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предназначена для выявления качества усвоения практических знаний по двум темам дисциплины, а именно: «Ранги и ранговая корреляция», «Дисперсионный анализ». Эти разделы являются основополагающими для последующего  освоения предмета.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включает в себя 2 практические задачи, на которые студент должен дать исчерпывающий письменный ответ. Первая задача требует нахождение среднего значения функции от рангов. Тема второй задачи– одно- и двухфакторный дисперсионный анализ.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Перечень задач первых трех вариантов: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1.</w:t>
      </w:r>
    </w:p>
    <w:p w:rsidR="007C7E60" w:rsidRDefault="00D042AE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20700" cy="444500"/>
            <wp:effectExtent l="0" t="0" r="0" b="0"/>
            <wp:docPr id="73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66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6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69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D042AE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Швейная фабрика выпускает изделия A,B,C,D,E тремя возможными способами. В таблице представлена информация о времени обработки изделий каждым из способов в минутах. Проверить нулевую гипотезу об отсутствии разницы в способах обработки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9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</w:t>
      </w:r>
    </w:p>
    <w:tbl>
      <w:tblPr>
        <w:tblStyle w:val="af5"/>
        <w:tblW w:w="3195" w:type="dxa"/>
        <w:tblInd w:w="3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90"/>
        <w:gridCol w:w="377"/>
        <w:gridCol w:w="456"/>
        <w:gridCol w:w="390"/>
        <w:gridCol w:w="363"/>
      </w:tblGrid>
      <w:tr w:rsidR="007C7E60">
        <w:tc>
          <w:tcPr>
            <w:tcW w:w="1220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B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C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D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E</w:t>
            </w:r>
          </w:p>
        </w:tc>
      </w:tr>
      <w:tr w:rsidR="007C7E60">
        <w:tc>
          <w:tcPr>
            <w:tcW w:w="12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способ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</w:tr>
      <w:tr w:rsidR="007C7E60">
        <w:tc>
          <w:tcPr>
            <w:tcW w:w="12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способ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  <w:tr w:rsidR="007C7E60">
        <w:tc>
          <w:tcPr>
            <w:tcW w:w="122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способ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2.</w:t>
      </w:r>
    </w:p>
    <w:p w:rsidR="007C7E60" w:rsidRDefault="00D042A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20700" cy="444500"/>
            <wp:effectExtent l="0" t="0" r="0" b="0"/>
            <wp:docPr id="92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98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9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8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Швейная фабрика выпускает изделия A,B,C,D,E. В таблице представлена информация о времени обработки изделий каждым из 3-х операторов швейных машин. Проверить нулевую гипотезу об отсутствии разницы во времени изготовления изделий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8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 в предположении одинаковой квалификации операторов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tbl>
      <w:tblPr>
        <w:tblStyle w:val="af6"/>
        <w:tblW w:w="3339" w:type="dxa"/>
        <w:tblInd w:w="3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390"/>
        <w:gridCol w:w="377"/>
        <w:gridCol w:w="456"/>
        <w:gridCol w:w="390"/>
        <w:gridCol w:w="363"/>
      </w:tblGrid>
      <w:tr w:rsidR="007C7E60">
        <w:tc>
          <w:tcPr>
            <w:tcW w:w="136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B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C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D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E</w:t>
            </w:r>
          </w:p>
        </w:tc>
      </w:tr>
      <w:tr w:rsidR="007C7E60">
        <w:tc>
          <w:tcPr>
            <w:tcW w:w="1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оператор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</w:tr>
      <w:tr w:rsidR="007C7E60">
        <w:tc>
          <w:tcPr>
            <w:tcW w:w="1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оператор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390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363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3.</w:t>
      </w:r>
    </w:p>
    <w:p w:rsidR="007C7E60" w:rsidRDefault="00D042AE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33400" cy="444500"/>
            <wp:effectExtent l="0" t="0" r="0" b="0"/>
            <wp:docPr id="90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88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8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79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С помощью трех датчиков измеряется температура (результаты измерений представлены в таблице). Одинаково ли откалиброваны датчики или все- таки имеется систематическая ошибка хотя бы у одного из них? Проверить нулевую гипотезу об отсутствии ошибки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4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tbl>
      <w:tblPr>
        <w:tblStyle w:val="af7"/>
        <w:tblW w:w="4744" w:type="dxa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C7E60">
        <w:tc>
          <w:tcPr>
            <w:tcW w:w="109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 датчик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97</w:t>
            </w: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c>
          <w:tcPr>
            <w:tcW w:w="109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 датчик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94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</w:tr>
      <w:tr w:rsidR="007C7E60">
        <w:tc>
          <w:tcPr>
            <w:tcW w:w="109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 дстчик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i w:val="0"/>
          <w:color w:val="000000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Критерий оценки – правильность и полнота выполнения всех шагов решения задачи. Оценка выставляется по шкале от 0 до 25 баллов. Первая задача оценивается в 10 баллов, вторая – в 15. Контрольная считается написанной успешно при оценке не ниже 15 баллов. </w:t>
      </w:r>
    </w:p>
    <w:p w:rsidR="007C7E60" w:rsidRDefault="00D042AE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6.2.4. Реферат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Реферат предназначен для выявления качества самостоятельного усвоения практических  и теоретических знаний по следующим темам дисциплины: «Порядковые статистики», «Непараметрический регрессионный анализ», «Задача о положении», «Задача о рассеянии», «Дисперсионный анализ», «Другие критерии и задачи». Эти разделы являются основополагающими для освоения предмета.</w:t>
      </w: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60"/>
        <w:jc w:val="left"/>
        <w:rPr>
          <w:i w:val="0"/>
          <w:color w:val="000000"/>
        </w:rPr>
      </w:pPr>
      <w:r>
        <w:rPr>
          <w:i w:val="0"/>
          <w:color w:val="000000"/>
        </w:rPr>
        <w:t>Реферат включает в себя подробное изложение теоретического вопроса с изложением и обоснованием необходимых нюансов выбранной задачи и разбор одного, двух практических примеров в среде R. Реферат подразумевает выступление на выбранную тему. Кроме выступления необходим отчет о проделанной работе. Отчет должен содержать: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Постановку задачи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Пример практической задачи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Исследование метода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Пояснение на одном, двух простых примерах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Экспериментальное обоснование применения асимптотического критерия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Возможные оценки, связанные с критерием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Сравнение с аналогами (по возможности)</w:t>
      </w:r>
    </w:p>
    <w:p w:rsidR="007C7E60" w:rsidRDefault="00D042AE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Решение заданной преподавателем задачи.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Темы рефератов по курсу «Дополнительные главы прикладной математики»: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знаковых рангов Уилкоксона.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знаков Фишера.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симметрии Гупта.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положении. Критерий ранговых сумм Уилкоксона.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Ансари- Бредли.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Мозеса.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Миллера.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Однофакторный дисперсионный анализ. Критерий Краскела- Уоллиса.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Однофакторный дисперсионный анализ. Критерий Джонкхиера- Терпстры.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Фридмана.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Пейджа.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Доксама.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Холлендера.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Одна линия регрессии. Критерий и оценка Тейла.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Одна и две линии регрессии. Критерий параллельности и критерий Тейла. 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двумерной симметрии Холлендера.</w:t>
      </w:r>
    </w:p>
    <w:p w:rsidR="007C7E60" w:rsidRDefault="00D042AE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«Новое Лучше Старого».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D042A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Критерий оценки – правильность и полнота выполнения реферата. Оценка выставляется по шкале от 0 до 20 баллов. Реферат считается выполненным успешно при оценке не ниже 12 баллов. 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</w:p>
    <w:p w:rsidR="007C7E60" w:rsidRDefault="004A7A47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</w:t>
      </w:r>
      <w:r w:rsidR="00D042AE">
        <w:rPr>
          <w:b/>
          <w:i w:val="0"/>
          <w:color w:val="000000"/>
        </w:rPr>
        <w:t>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</w:t>
      </w:r>
      <w:bookmarkStart w:id="4" w:name="tyjcwt" w:colFirst="0" w:colLast="0"/>
      <w:bookmarkEnd w:id="4"/>
      <w:r w:rsidR="00D042AE">
        <w:rPr>
          <w:b/>
          <w:i w:val="0"/>
          <w:color w:val="000000"/>
        </w:rPr>
        <w:t>ций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tbl>
      <w:tblPr>
        <w:tblStyle w:val="af8"/>
        <w:tblW w:w="95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78"/>
        <w:gridCol w:w="1004"/>
      </w:tblGrid>
      <w:tr w:rsidR="007C7E60">
        <w:tc>
          <w:tcPr>
            <w:tcW w:w="2127" w:type="dxa"/>
          </w:tcPr>
          <w:p w:rsidR="007C7E60" w:rsidRDefault="00D042A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Форма аттестации</w:t>
            </w:r>
          </w:p>
        </w:tc>
        <w:tc>
          <w:tcPr>
            <w:tcW w:w="6378" w:type="dxa"/>
          </w:tcPr>
          <w:p w:rsidR="007C7E60" w:rsidRDefault="00D042A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Наименование оценочного средства</w:t>
            </w:r>
          </w:p>
        </w:tc>
        <w:tc>
          <w:tcPr>
            <w:tcW w:w="1004" w:type="dxa"/>
          </w:tcPr>
          <w:p w:rsidR="007C7E60" w:rsidRDefault="00D042A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Баллы</w:t>
            </w:r>
          </w:p>
        </w:tc>
      </w:tr>
      <w:tr w:rsidR="007C7E60">
        <w:tc>
          <w:tcPr>
            <w:tcW w:w="2127" w:type="dxa"/>
            <w:vMerge w:val="restart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Экзамен (100 баллов)</w:t>
            </w:r>
          </w:p>
        </w:tc>
        <w:tc>
          <w:tcPr>
            <w:tcW w:w="6378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</w:t>
            </w:r>
          </w:p>
        </w:tc>
        <w:tc>
          <w:tcPr>
            <w:tcW w:w="1004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</w:tr>
      <w:tr w:rsidR="007C7E60"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</w:t>
            </w:r>
          </w:p>
        </w:tc>
        <w:tc>
          <w:tcPr>
            <w:tcW w:w="1004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</w:tr>
      <w:tr w:rsidR="007C7E60"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  <w:tc>
          <w:tcPr>
            <w:tcW w:w="1004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20</w:t>
            </w:r>
          </w:p>
        </w:tc>
      </w:tr>
      <w:tr w:rsidR="007C7E60">
        <w:trPr>
          <w:trHeight w:val="320"/>
        </w:trPr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Ответы на экзаменационный билет</w:t>
            </w:r>
          </w:p>
        </w:tc>
        <w:tc>
          <w:tcPr>
            <w:tcW w:w="1004" w:type="dxa"/>
          </w:tcPr>
          <w:p w:rsidR="007C7E60" w:rsidRDefault="00D0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30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p w:rsidR="007C7E60" w:rsidRDefault="004A7A47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2</w:t>
      </w:r>
      <w:r w:rsidR="00D042AE">
        <w:rPr>
          <w:b/>
          <w:i w:val="0"/>
          <w:color w:val="000000"/>
        </w:rPr>
        <w:t>. Перечень основной и дополнительной учебной литературы, необходимой для освоения дисциплины</w:t>
      </w:r>
    </w:p>
    <w:p w:rsidR="007C7E60" w:rsidRDefault="00D042AE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а) основная учебная литература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Миносцев, В.Б. (под ред.) Курс математики для технических высших учебных заведений. Часть 4. Теория вероятностей и математическая статистика [Электронный ресурс, доступен в Электронно-библиотечной системе издательства «Лань»] : учебное пособие / В.Б. Миносцев (под ред.), Е.А. Пушкарь (под ред.), Н.А. Берков [и др.]. — Электрон. дан. — СПб. : Лань, 2013. — 304 с. — Режим доступа: http://e.lanbook.com/books/element.php?pl1_id=32817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Гмурман В. Е.  Руководство к решению задач по теории вероятностей и математической статистике : учеб. пособие для бакалавров / В. Е. Гмурман. – 11-е изд., перераб. и доп. – М. : Юрайт, 2013. – 404 с. : ил. – (Бакалавр. Базовый курс)  (Библиотека ИАТЭ НИЯУ МИФИ, </w:t>
      </w:r>
      <w:r>
        <w:rPr>
          <w:i w:val="0"/>
          <w:color w:val="000000"/>
          <w:highlight w:val="yellow"/>
        </w:rPr>
        <w:t>1 экз</w:t>
      </w:r>
      <w:r>
        <w:rPr>
          <w:i w:val="0"/>
          <w:color w:val="000000"/>
        </w:rPr>
        <w:t>.)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Бочаров, П.П. Теория вероятностей. Математическая статистика [Электронный ресурс, доступен в Электронно-библиотечной системе издательства «Лань»] : / П.П. Бочаров, А.В. Печинкин. — Электрон. дан. — М. : Физматлит, 2005. — 296 с. — Режим доступа: http://e.lanbook.com/books/element.php?pl1_id=59406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Боровков А. А. Математическая статистика [Электронный ресурс, доступен в Электронно-библиотечной системе издательства «Лань»] : учебник. — Электрон. дан. — СПб. : Лань, 2010. — 704 с. — Режим доступа: http://e.lanbook.com/books/element.php?pl1_id=3810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Емельянов, Г.В. Задачник по теории вероятностей и математической статистике [Электронный ресурс, доступен в Электронно-библиотечной системе издательства «Лань»] : учебное пособие / Г.В. Емельянов, В.П. Скитович. — Электрон. дан. — СПб. : Лань, 2007. — 332 с. — Режим доступа: http://e.lanbook.com/books/element.php?pl1_id=141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Свешников, А.А. Сборник задач по теории вероятностей, математической статистике и теории случайных функций [Электронный ресурс, доступен в Электронно-библиотечной системе издательства «Лань»] : учебное пособие. — Электрон. дан. — СПб. : Лань, 2013. — 446 с. — Режим доступа: http://e.lanbook.com/books/element.php?pl1_id=5711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Хрущева, И.В. Основы математической статистики и теории случайных процессов [Электронный ресурс] : учебное пособие / И.В. Хрущева, В.И. Щербаков, Д.С. Леванова. — Электрон. дан. — СПб. : Лань, 2009. — 332 с. — Режим доступа: http://e.lanbook.com/books/element.php?pl1_id=426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Буре В. М. Теория вероятностей и математическая статистика [Электронный ресурс] : учебник / Буре В. М., Парилина Е. М. — Электрон. дан. — СПб. : Лань, 2013. — 416 с. — Режим доступа: http://e.lanbook.com/books/element.php?pl1_id=10249 — Загл. с экрана.</w:t>
      </w:r>
    </w:p>
    <w:p w:rsidR="007C7E60" w:rsidRDefault="00D042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Кобзарь, А.И. Прикладная математическая статистика. Для инженеров и научных работников [Электронный ресурс] : учебное пособие. — Электрон. дан. — М. : Физматлит, 2012. — 813 с. — Режим доступа: http://e.lanbook.com/books/element.php?pl1_id=59747 — Загл. с экрана.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D04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  <w:r>
        <w:rPr>
          <w:b/>
          <w:color w:val="000000"/>
        </w:rPr>
        <w:t>б) дополнительная учебная литература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Гмурман В.Е. Теория вероятностей и математическая статистика. – М.: Высшая школа, 2003, – 479 с. Гриф МО РФ. 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Гмурман В.Е. Руководство к решению задач по теории вероятностей и математической статистике: Учебное пособие для студентов  втузов. – М.: 2005. – 405 с. Гриф МО РФ.(</w:t>
      </w:r>
      <w:r>
        <w:rPr>
          <w:i w:val="0"/>
          <w:color w:val="000000"/>
        </w:rPr>
        <w:t xml:space="preserve"> Библиотека ИАТЭ НИЯУ МИФИ, </w:t>
      </w:r>
      <w:r>
        <w:rPr>
          <w:i w:val="0"/>
        </w:rPr>
        <w:t>50 экз)*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Чепурко В.А. Методы статистического оценивания в АСУ / Под ред. С.К. Девятиловой. Учебное пособие по курсу "Статистические методы и модели в управлении". -Обнинск: ИАТЭ, 2009. -96 с.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Чепурко В.А. Методы проверки статистических гипотез в АСУ / Под ред. С.К. Девятиловой. Учебное пособие по курсу "Статистические методы и модели в управлении". - Обнинск: ИАТЭ, 2009. - 99 с.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Кибзун, А.И. Теория вероятностей и математическая статистика. Базовый курс с примерами и задачами [Электронный ресурс] : справочник / А.И. Кибзун, Е.Р. Горяинова, А.В. Наумов. — Электрон. дан. — М. : Физматлит, 2007. — 232 с. — Режим доступа: http://e.lanbook.com/books/element.php?pl1_id=59479 — Загл. с экрана.</w:t>
      </w:r>
    </w:p>
    <w:p w:rsidR="007C7E60" w:rsidRDefault="00D042AE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Лагутин, М.Б. Наглядная математическая статистика [Электронный ресурс] : . — Электрон. дан. — М. : Бином. Лаборатория знаний, 2013. — 473 с. — Режим доступа: http://e.lanbook.com/books/element.php?pl1_id=56887 — Загл. с экрана.</w:t>
      </w:r>
    </w:p>
    <w:p w:rsidR="007C7E60" w:rsidRDefault="004A7A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3</w:t>
      </w:r>
      <w:r w:rsidR="00D042AE">
        <w:rPr>
          <w:b/>
          <w:i w:val="0"/>
          <w:color w:val="000000"/>
        </w:rPr>
        <w:t>.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7C7E60" w:rsidRDefault="00D042AE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Материалы открытой энциклопедии Wikipedia // Корневая URL: </w:t>
      </w:r>
      <w:hyperlink r:id="rId90">
        <w:r>
          <w:rPr>
            <w:i w:val="0"/>
            <w:color w:val="000080"/>
            <w:u w:val="single"/>
          </w:rPr>
          <w:t>http://ru.wikipedia.org/wiki/Математическая</w:t>
        </w:r>
      </w:hyperlink>
      <w:r>
        <w:rPr>
          <w:i w:val="0"/>
          <w:color w:val="000000"/>
        </w:rPr>
        <w:t xml:space="preserve"> статистика</w:t>
      </w:r>
    </w:p>
    <w:p w:rsidR="007C7E60" w:rsidRDefault="00D042AE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Центра информационно-библиотечного обеспечения учебно-научной деятельности НИЯУ МИФИ // URL: www.library.mephi.ru (по подписке)</w:t>
      </w:r>
    </w:p>
    <w:p w:rsidR="007C7E60" w:rsidRDefault="00D042AE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научной электронной библиотеки elibrary.ru // URL: www.elibrary.ru (по подписке)</w:t>
      </w:r>
    </w:p>
    <w:p w:rsidR="007C7E60" w:rsidRDefault="00D042AE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издательства «Лань» // URL: www.e.lanbook.com (по подписке)</w:t>
      </w:r>
    </w:p>
    <w:p w:rsidR="007C7E60" w:rsidRDefault="00D042AE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образовательных и просветительских изданий // URL: www.iqlib.ru (по подписке)</w:t>
      </w:r>
    </w:p>
    <w:sectPr w:rsidR="007C7E60">
      <w:footerReference w:type="even" r:id="rId91"/>
      <w:footerReference w:type="default" r:id="rId92"/>
      <w:pgSz w:w="11905" w:h="16837"/>
      <w:pgMar w:top="851" w:right="567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1E5" w:rsidRDefault="009561E5">
      <w:pPr>
        <w:spacing w:line="240" w:lineRule="auto"/>
      </w:pPr>
      <w:r>
        <w:separator/>
      </w:r>
    </w:p>
  </w:endnote>
  <w:endnote w:type="continuationSeparator" w:id="0">
    <w:p w:rsidR="009561E5" w:rsidRDefault="00956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D042AE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8A4419">
      <w:rPr>
        <w:i w:val="0"/>
        <w:noProof/>
        <w:color w:val="000000"/>
        <w:sz w:val="18"/>
        <w:szCs w:val="18"/>
      </w:rPr>
      <w:t>2</w:t>
    </w:r>
    <w:r>
      <w:rPr>
        <w:i w:val="0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D042AE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8A4419">
      <w:rPr>
        <w:i w:val="0"/>
        <w:noProof/>
        <w:color w:val="000000"/>
        <w:sz w:val="18"/>
        <w:szCs w:val="18"/>
      </w:rPr>
      <w:t>1</w:t>
    </w:r>
    <w:r>
      <w:rPr>
        <w:i w:val="0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1E5" w:rsidRDefault="009561E5">
      <w:pPr>
        <w:spacing w:line="240" w:lineRule="auto"/>
      </w:pPr>
      <w:r>
        <w:separator/>
      </w:r>
    </w:p>
  </w:footnote>
  <w:footnote w:type="continuationSeparator" w:id="0">
    <w:p w:rsidR="009561E5" w:rsidRDefault="009561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C37"/>
    <w:multiLevelType w:val="multilevel"/>
    <w:tmpl w:val="CBA03DB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C3D061C"/>
    <w:multiLevelType w:val="multilevel"/>
    <w:tmpl w:val="1C2E98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1D685D21"/>
    <w:multiLevelType w:val="multilevel"/>
    <w:tmpl w:val="24AA01BC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eastAsia="Times New Roman" w:hAnsi="Times New Roman" w:cs="Times New Roman"/>
        <w:b w:val="0"/>
        <w:i w:val="0"/>
        <w:sz w:val="28"/>
        <w:szCs w:val="28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F222095"/>
    <w:multiLevelType w:val="multilevel"/>
    <w:tmpl w:val="618CAB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FC263EA"/>
    <w:multiLevelType w:val="multilevel"/>
    <w:tmpl w:val="AFFE58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324D7E9E"/>
    <w:multiLevelType w:val="multilevel"/>
    <w:tmpl w:val="88A477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46B67CC9"/>
    <w:multiLevelType w:val="multilevel"/>
    <w:tmpl w:val="12EC29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489D645A"/>
    <w:multiLevelType w:val="multilevel"/>
    <w:tmpl w:val="5B7071A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4DE64421"/>
    <w:multiLevelType w:val="multilevel"/>
    <w:tmpl w:val="B7327D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59E3331B"/>
    <w:multiLevelType w:val="multilevel"/>
    <w:tmpl w:val="AA6EBE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CD11410"/>
    <w:multiLevelType w:val="multilevel"/>
    <w:tmpl w:val="BD74A4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F476142"/>
    <w:multiLevelType w:val="multilevel"/>
    <w:tmpl w:val="E8AE046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5FC304AB"/>
    <w:multiLevelType w:val="multilevel"/>
    <w:tmpl w:val="709444D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3D9487D"/>
    <w:multiLevelType w:val="multilevel"/>
    <w:tmpl w:val="3662A6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6A620BB4"/>
    <w:multiLevelType w:val="multilevel"/>
    <w:tmpl w:val="4E7448F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6FA902C5"/>
    <w:multiLevelType w:val="multilevel"/>
    <w:tmpl w:val="C5C6F3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7E60"/>
    <w:rsid w:val="00243011"/>
    <w:rsid w:val="00474772"/>
    <w:rsid w:val="004A7A47"/>
    <w:rsid w:val="00601B67"/>
    <w:rsid w:val="007C7E60"/>
    <w:rsid w:val="008A4419"/>
    <w:rsid w:val="009561E5"/>
    <w:rsid w:val="00D042AE"/>
    <w:rsid w:val="00F049F5"/>
    <w:rsid w:val="00FB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settings" Target="settings.xml"/><Relationship Id="rId90" Type="http://schemas.openxmlformats.org/officeDocument/2006/relationships/hyperlink" Target="http://ru.wikipedia.org/wiki/%D0%9C%D0%B0%D1%82%D0%B5%D0%BC%D0%B0%D1%82%D0%B8%D1%87%D0%B5%D1%81%D0%BA%D0%B0%D1%8F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DD16C-72B8-4AE4-B2FD-41648ABF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Олегов. Старков</dc:creator>
  <cp:lastModifiedBy>Сергей Олегов. Старков</cp:lastModifiedBy>
  <cp:revision>2</cp:revision>
  <cp:lastPrinted>2023-09-30T08:44:00Z</cp:lastPrinted>
  <dcterms:created xsi:type="dcterms:W3CDTF">2026-07-07T08:35:00Z</dcterms:created>
  <dcterms:modified xsi:type="dcterms:W3CDTF">2026-07-07T08:35:00Z</dcterms:modified>
</cp:coreProperties>
</file>